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E3" w:rsidRDefault="00440A01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Závěrečný účet obce Miřetice za rok 2020</w:t>
      </w:r>
    </w:p>
    <w:p w:rsidR="003F2AE3" w:rsidRDefault="00440A01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(§ 17 zákona č. 250/2000 Sb., o rozpočtových pravidlech územních rozpočtů, ve znění platných předpisů)</w:t>
      </w:r>
    </w:p>
    <w:p w:rsidR="003F2AE3" w:rsidRDefault="003F2AE3">
      <w:pPr>
        <w:pStyle w:val="Standard"/>
        <w:rPr>
          <w:sz w:val="20"/>
          <w:szCs w:val="20"/>
        </w:rPr>
      </w:pP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 xml:space="preserve">1) Údaje o plnění příjmů a výdajů za </w:t>
      </w:r>
      <w:r>
        <w:rPr>
          <w:b/>
          <w:bCs/>
        </w:rPr>
        <w:t>rok 2020 (údaje jsou uvedeny v tis. Kč)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604"/>
        <w:gridCol w:w="1995"/>
        <w:gridCol w:w="1994"/>
        <w:gridCol w:w="2002"/>
      </w:tblGrid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</w:pP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Upravený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Plnění k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plnění k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31.12.2020</w:t>
            </w:r>
            <w:proofErr w:type="gramEnd"/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uprav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rozpočtu</w:t>
            </w:r>
            <w:proofErr w:type="spellEnd"/>
            <w:proofErr w:type="gramEnd"/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1 Daňové příjmy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20 959,60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21 292,44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19 136,49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2 Nedaňové příjmy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2 646,50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2976,49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2 676,28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Třída 3 </w:t>
            </w:r>
            <w:r>
              <w:rPr>
                <w:sz w:val="20"/>
                <w:szCs w:val="20"/>
              </w:rPr>
              <w:t>Kapitálové příjmy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96,30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83,35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4 Transfery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6 963,86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8 103,85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23 993,10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31 329,09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29 999,97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Konsolidace příjmů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Příjmy po konsolidaci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23 993,10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31 329,09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28 859,97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5 Běžné výdaje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120,90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15 661,85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14 909,25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6 Kapitálové výdaje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13 200,00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16 864,65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13 040,32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28 320,90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32 526,50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27 949,57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Konsolidace výdajů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 po konsolidaci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28 320,90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32 526,50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26 809,57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Saldo: příjmy – </w:t>
            </w:r>
            <w:r>
              <w:rPr>
                <w:b/>
                <w:bCs/>
                <w:sz w:val="20"/>
                <w:szCs w:val="20"/>
              </w:rPr>
              <w:t xml:space="preserve">výdaje </w:t>
            </w:r>
            <w:proofErr w:type="gramStart"/>
            <w:r>
              <w:rPr>
                <w:b/>
                <w:bCs/>
                <w:sz w:val="20"/>
                <w:szCs w:val="20"/>
              </w:rPr>
              <w:t>po</w:t>
            </w:r>
            <w:proofErr w:type="gramEnd"/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- 4 327,80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- 1 197,41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2 050,41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konsolidaci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Třída 8 Financování </w:t>
            </w:r>
            <w:proofErr w:type="gramStart"/>
            <w:r>
              <w:rPr>
                <w:b/>
                <w:bCs/>
                <w:sz w:val="20"/>
                <w:szCs w:val="20"/>
              </w:rPr>
              <w:t>po</w:t>
            </w:r>
            <w:proofErr w:type="gramEnd"/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4 327,80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1 197,41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- 2050,41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kosolidaci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Dlouhodobé přijaté úvěry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Počáteční stav k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Konečný stav k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Změna stavu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1.1.2020</w:t>
            </w:r>
            <w:proofErr w:type="gramEnd"/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31.12.2020</w:t>
            </w:r>
            <w:proofErr w:type="gramEnd"/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bankovního účtu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Základní běžný účet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25 185 822,99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24 669 768,35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516 054,64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Běžné účty fondů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466 000,00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932 000,00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- 466 000,00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Běžné účty celkem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25 651 822,99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25 601 768,35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50 054,64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Pokladna</w:t>
            </w:r>
          </w:p>
        </w:tc>
        <w:tc>
          <w:tcPr>
            <w:tcW w:w="1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23 207,00</w:t>
            </w:r>
          </w:p>
        </w:tc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23 649,00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- 442,00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</w:tbl>
    <w:p w:rsidR="003F2AE3" w:rsidRDefault="00440A01">
      <w:pPr>
        <w:pStyle w:val="Standard"/>
      </w:pPr>
      <w:r>
        <w:t xml:space="preserve">Doplňující </w:t>
      </w:r>
      <w:r>
        <w:t>informace</w:t>
      </w:r>
    </w:p>
    <w:p w:rsidR="003F2AE3" w:rsidRDefault="00440A01">
      <w:pPr>
        <w:pStyle w:val="Standard"/>
      </w:pPr>
      <w:r>
        <w:t xml:space="preserve">Údaje o plnění rozpočtu příjmů, výdajů a dalších finančních operacích, v plném členění podle rozpočtové skladby jsou obsaženy v příloze č. 1 – Výkaz pro hodnocení plnění rozpočtu FIN 2-12M k </w:t>
      </w:r>
      <w:proofErr w:type="gramStart"/>
      <w:r>
        <w:t>31.12.2020</w:t>
      </w:r>
      <w:proofErr w:type="gramEnd"/>
      <w:r>
        <w:t xml:space="preserve"> -  závěrečného účtu obce Miřetice za rok 202</w:t>
      </w:r>
      <w:r>
        <w:t>0.</w:t>
      </w:r>
    </w:p>
    <w:p w:rsidR="003F2AE3" w:rsidRDefault="00440A01">
      <w:pPr>
        <w:pStyle w:val="Standard"/>
      </w:pPr>
      <w:r>
        <w:t xml:space="preserve">Daňové příjmy byly vlivem pandemické </w:t>
      </w:r>
      <w:proofErr w:type="gramStart"/>
      <w:r>
        <w:t>situace  a nepříznivého</w:t>
      </w:r>
      <w:proofErr w:type="gramEnd"/>
      <w:r>
        <w:t xml:space="preserve"> vývoje s ohledem na COVID 19 nenaplněné. Při zpracování rozpočtu na rok 2020 v závěru roku 2019 nebylo možné s vývojem onemocnění COVID 19 počítat.  K překročení rozpočtované výše transferů do</w:t>
      </w:r>
      <w:r>
        <w:t xml:space="preserve">šlo získáním dotace ve výši 436 740 Kč na zmírnění dopadů kůrovcové kalamity, dotace ve výši 3 308 000 Kč na výstavbu vodovodu, který byl vybudován v místní části </w:t>
      </w:r>
      <w:proofErr w:type="spellStart"/>
      <w:r>
        <w:t>Krupín</w:t>
      </w:r>
      <w:proofErr w:type="spellEnd"/>
      <w:r>
        <w:t xml:space="preserve"> a </w:t>
      </w:r>
      <w:proofErr w:type="spellStart"/>
      <w:r>
        <w:t>Krupínské</w:t>
      </w:r>
      <w:proofErr w:type="spellEnd"/>
      <w:r>
        <w:t xml:space="preserve"> Paseky, dotace ve výši 662 066,02 Kč na akci Předcházení vzniku odpadů (ná</w:t>
      </w:r>
      <w:r>
        <w:t>klady na tuto akci obec investovala již v roce 2019)</w:t>
      </w:r>
      <w:r w:rsidR="00C128A9">
        <w:t>, dotace ve výši 100 000 Kč na investice pro SDH</w:t>
      </w:r>
      <w:r>
        <w:t>. Ministerstvo financí poskytlo obce kompenzační bonus na náklady spojené s onemocněním COVID ve výši 1 638 750 Kč.</w:t>
      </w: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2) Hospodářská činnost obce</w:t>
      </w:r>
    </w:p>
    <w:p w:rsidR="003F2AE3" w:rsidRDefault="00440A01">
      <w:pPr>
        <w:pStyle w:val="Standard"/>
      </w:pPr>
      <w:r>
        <w:t>Obec neprovozuje hospodářskou činnost.</w:t>
      </w: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3) Stav účelových fon</w:t>
      </w:r>
      <w:r>
        <w:rPr>
          <w:b/>
          <w:bCs/>
        </w:rPr>
        <w:t>dů</w:t>
      </w:r>
    </w:p>
    <w:p w:rsidR="003F2AE3" w:rsidRDefault="00440A01">
      <w:pPr>
        <w:pStyle w:val="Standard"/>
      </w:pPr>
      <w:r>
        <w:t>Sociální fond:</w:t>
      </w:r>
      <w:r>
        <w:tab/>
      </w:r>
      <w:r>
        <w:tab/>
      </w:r>
      <w:r>
        <w:tab/>
      </w:r>
      <w:r>
        <w:tab/>
        <w:t xml:space="preserve">stav k </w:t>
      </w:r>
      <w:proofErr w:type="gramStart"/>
      <w:r>
        <w:t>31.12.2020</w:t>
      </w:r>
      <w:proofErr w:type="gramEnd"/>
      <w:r w:rsidR="009057A6">
        <w:tab/>
      </w:r>
      <w:r w:rsidR="00C128A9">
        <w:tab/>
      </w:r>
      <w:r w:rsidR="00C128A9">
        <w:tab/>
      </w:r>
      <w:r w:rsidR="00C128A9">
        <w:tab/>
        <w:t xml:space="preserve">  7 943,00 Kč</w:t>
      </w:r>
      <w:r>
        <w:tab/>
      </w:r>
      <w:r>
        <w:tab/>
      </w:r>
    </w:p>
    <w:p w:rsidR="003F2AE3" w:rsidRDefault="00440A01">
      <w:pPr>
        <w:pStyle w:val="Standard"/>
      </w:pPr>
      <w:r>
        <w:t xml:space="preserve">Tvorba a čerpání sociálního fondu se řídí </w:t>
      </w:r>
      <w:r w:rsidR="009057A6">
        <w:t>Pravidly</w:t>
      </w:r>
      <w:r>
        <w:t xml:space="preserve"> pro tvorbu a čerpání sociálního fondu ze dne</w:t>
      </w:r>
      <w:r w:rsidR="009057A6">
        <w:t xml:space="preserve"> </w:t>
      </w:r>
      <w:proofErr w:type="gramStart"/>
      <w:r w:rsidR="009057A6">
        <w:t>31.10.2017</w:t>
      </w:r>
      <w:proofErr w:type="gramEnd"/>
      <w:r>
        <w:t xml:space="preserve"> a rozpočtem obce.</w:t>
      </w: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4) Hospodaření příspěvkových organizací zřízených obcí</w:t>
      </w:r>
    </w:p>
    <w:p w:rsidR="003F2AE3" w:rsidRDefault="00440A01">
      <w:pPr>
        <w:pStyle w:val="Standard"/>
      </w:pPr>
      <w:r>
        <w:t>Základní škola Miřetice</w:t>
      </w:r>
      <w:r>
        <w:tab/>
      </w:r>
      <w:r>
        <w:tab/>
        <w:t>výsledek h</w:t>
      </w:r>
      <w:r>
        <w:t xml:space="preserve">ospodaření k </w:t>
      </w:r>
      <w:proofErr w:type="gramStart"/>
      <w:r>
        <w:t>31.12.2020</w:t>
      </w:r>
      <w:proofErr w:type="gramEnd"/>
      <w:r>
        <w:tab/>
      </w:r>
      <w:r>
        <w:tab/>
        <w:t>59 617,88 Kč</w:t>
      </w:r>
    </w:p>
    <w:p w:rsidR="003F2AE3" w:rsidRDefault="00440A01">
      <w:pPr>
        <w:pStyle w:val="Standard"/>
      </w:pPr>
      <w:r>
        <w:t>Mateřská škola Miřetice</w:t>
      </w:r>
      <w:r>
        <w:tab/>
      </w:r>
      <w:r>
        <w:tab/>
        <w:t xml:space="preserve">výsledek hospodaření k </w:t>
      </w:r>
      <w:proofErr w:type="gramStart"/>
      <w:r>
        <w:t>31.12.2020</w:t>
      </w:r>
      <w:proofErr w:type="gramEnd"/>
      <w:r>
        <w:tab/>
      </w:r>
      <w:r>
        <w:tab/>
        <w:t xml:space="preserve">         0,00 Kč</w:t>
      </w:r>
    </w:p>
    <w:p w:rsidR="003F2AE3" w:rsidRDefault="00440A01">
      <w:pPr>
        <w:pStyle w:val="Standard"/>
      </w:pPr>
      <w:r>
        <w:t xml:space="preserve">K </w:t>
      </w:r>
      <w:proofErr w:type="gramStart"/>
      <w:r>
        <w:t>1.1.2021</w:t>
      </w:r>
      <w:proofErr w:type="gramEnd"/>
      <w:r>
        <w:t xml:space="preserve"> dochází ke sloučení Základní školy Miřetice a Mateřské školy Miřetice do jedné příspěvkové organizace, proto veškeré finanční </w:t>
      </w:r>
      <w:r>
        <w:t>prostředky byly vyčerpány.</w:t>
      </w:r>
    </w:p>
    <w:p w:rsidR="003F2AE3" w:rsidRDefault="00440A01">
      <w:pPr>
        <w:pStyle w:val="Standard"/>
        <w:pageBreakBefore/>
      </w:pPr>
      <w:r>
        <w:lastRenderedPageBreak/>
        <w:t>Roční účetní závěrky zřízených příspěvkových organizací a všechny zákonem předepsané výkazy jsou založeny u zřizovatele v kanceláři OÚ Miřetice.</w:t>
      </w: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5) Vyúčtování finančních vztahů ke státnímu rozpočtu a ostatním rozpočtům veřejné úr</w:t>
      </w:r>
      <w:r>
        <w:rPr>
          <w:b/>
          <w:bCs/>
        </w:rPr>
        <w:t>ovně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789"/>
        <w:gridCol w:w="4120"/>
        <w:gridCol w:w="1994"/>
        <w:gridCol w:w="2002"/>
      </w:tblGrid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upravený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Skutečnost k </w:t>
            </w:r>
            <w:proofErr w:type="gramStart"/>
            <w:r>
              <w:rPr>
                <w:sz w:val="20"/>
                <w:szCs w:val="20"/>
              </w:rPr>
              <w:t>31.12.2020</w:t>
            </w:r>
            <w:proofErr w:type="gramEnd"/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98024</w:t>
            </w: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Kompenzační bonus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1 638 750,00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1 638 750,00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98193</w:t>
            </w: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volby do zastupitelstev krajů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Souhrnný dotační vztah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287 000,00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287 000,00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13013</w:t>
            </w: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OPZ ÚP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</w:t>
            </w: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aktivní politika zaměstnanosti ÚP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242 467,00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242 467,00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15011</w:t>
            </w: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Předcházení vzniku odpadů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662 066,02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662 066,02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29014</w:t>
            </w: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příspěvek na obnovu a výchovu porostů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29030</w:t>
            </w: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kůrovcová kalamita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436 740,00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436 740,00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C128A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plnění od obcí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3 825,00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C128A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C128A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Dotace  </w:t>
            </w:r>
            <w:proofErr w:type="spellStart"/>
            <w:r>
              <w:rPr>
                <w:sz w:val="20"/>
                <w:szCs w:val="20"/>
              </w:rPr>
              <w:t>KrÚ</w:t>
            </w:r>
            <w:proofErr w:type="spellEnd"/>
            <w:r>
              <w:rPr>
                <w:sz w:val="20"/>
                <w:szCs w:val="20"/>
              </w:rPr>
              <w:t xml:space="preserve"> Pardubice neinvestiční pro </w:t>
            </w:r>
            <w:proofErr w:type="spellStart"/>
            <w:r>
              <w:rPr>
                <w:sz w:val="20"/>
                <w:szCs w:val="20"/>
              </w:rPr>
              <w:t>středky</w:t>
            </w:r>
            <w:proofErr w:type="spellEnd"/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29992</w:t>
            </w: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výstavba vodovodu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3 308 000,00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3 308 000,00</w:t>
            </w:r>
          </w:p>
        </w:tc>
      </w:tr>
      <w:tr w:rsidR="003F2AE3">
        <w:tblPrEx>
          <w:tblCellMar>
            <w:top w:w="0" w:type="dxa"/>
            <w:bottom w:w="0" w:type="dxa"/>
          </w:tblCellMar>
        </w:tblPrEx>
        <w:tc>
          <w:tcPr>
            <w:tcW w:w="1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3F2AE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</w:t>
            </w:r>
            <w:r w:rsidR="00C128A9">
              <w:rPr>
                <w:sz w:val="20"/>
                <w:szCs w:val="20"/>
              </w:rPr>
              <w:t xml:space="preserve"> </w:t>
            </w:r>
            <w:proofErr w:type="spellStart"/>
            <w:r w:rsidR="00C128A9">
              <w:rPr>
                <w:sz w:val="20"/>
                <w:szCs w:val="20"/>
              </w:rPr>
              <w:t>KrÚ</w:t>
            </w:r>
            <w:proofErr w:type="spellEnd"/>
            <w:r w:rsidR="00C128A9">
              <w:rPr>
                <w:sz w:val="20"/>
                <w:szCs w:val="20"/>
              </w:rPr>
              <w:t xml:space="preserve"> Pardubice investice pro SDH</w:t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E3" w:rsidRDefault="00440A01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</w:tbl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6) Majetek obce</w:t>
      </w:r>
    </w:p>
    <w:p w:rsidR="003F2AE3" w:rsidRDefault="00440A01">
      <w:pPr>
        <w:pStyle w:val="Standard"/>
      </w:pPr>
      <w:r>
        <w:t>Majetek obce je veden na majetkových účtech a řádně inventarizován. Při prodeji majetku je postupováno v souladu se zákonem č. 128/2000 Sb., o obcích, v platném znění.</w:t>
      </w:r>
    </w:p>
    <w:p w:rsidR="003F2AE3" w:rsidRDefault="00440A01">
      <w:pPr>
        <w:pStyle w:val="Standard"/>
      </w:pPr>
      <w:r>
        <w:t>Výkazy Rozvaha, Výkaz zi</w:t>
      </w:r>
      <w:r w:rsidR="00C128A9">
        <w:t>s</w:t>
      </w:r>
      <w:r>
        <w:t xml:space="preserve">ku a ztrát a Příloha účetní závěrky jsou obsaženy v příloze č. </w:t>
      </w:r>
      <w:r>
        <w:t>2 tohoto závěrečného účtu obce Miřetice.</w:t>
      </w:r>
    </w:p>
    <w:p w:rsidR="003F2AE3" w:rsidRDefault="00440A01">
      <w:pPr>
        <w:pStyle w:val="Standard"/>
      </w:pPr>
      <w:r>
        <w:t>Inventarizační zpráva za rok 2020 je obsažena v příloze č. 3 tohoto závěrečného účtu.</w:t>
      </w:r>
    </w:p>
    <w:p w:rsidR="003F2AE3" w:rsidRDefault="00440A01">
      <w:pPr>
        <w:pStyle w:val="Standard"/>
        <w:rPr>
          <w:b/>
          <w:bCs/>
        </w:rPr>
      </w:pPr>
      <w:r>
        <w:rPr>
          <w:b/>
          <w:bCs/>
        </w:rPr>
        <w:t>7) Zpráva o výsledku přezkoumání hospodaření obce za rok 2020</w:t>
      </w:r>
    </w:p>
    <w:p w:rsidR="003F2AE3" w:rsidRDefault="00440A01">
      <w:pPr>
        <w:pStyle w:val="Standard"/>
      </w:pPr>
      <w:r>
        <w:t>Přezkoumání hospodaření obce provedla pracovní skupina Krajského úř</w:t>
      </w:r>
      <w:r>
        <w:t>adu Pardubického kraje na základě písemné žádosti starosty obce, pracovní sk</w:t>
      </w:r>
      <w:r w:rsidR="00C128A9">
        <w:t>upina pracovala ve složení Eva B</w:t>
      </w:r>
      <w:r>
        <w:t xml:space="preserve">aťková, Bc. Ivana Horáková, Ing. Věra </w:t>
      </w:r>
      <w:proofErr w:type="spellStart"/>
      <w:r>
        <w:t>Loužilová</w:t>
      </w:r>
      <w:proofErr w:type="spellEnd"/>
      <w:r>
        <w:t>, Dita Vondroušová. Přezkoumání hospodaření bylo provedeno v souladu se zákonem č. 420/2004 Sb., o př</w:t>
      </w:r>
      <w:r>
        <w:t>ezkoumávání hospodaření územních samosprávných celků a dobrovolných svazků obcí.</w:t>
      </w:r>
    </w:p>
    <w:p w:rsidR="003F2AE3" w:rsidRDefault="00440A01">
      <w:pPr>
        <w:pStyle w:val="Standard"/>
      </w:pPr>
      <w:r>
        <w:t>Zjištění ze závěrečného přezkoumání:</w:t>
      </w:r>
    </w:p>
    <w:p w:rsidR="003F2AE3" w:rsidRDefault="00440A01">
      <w:pPr>
        <w:pStyle w:val="Standard"/>
      </w:pPr>
      <w:r>
        <w:t xml:space="preserve">Při přezkoumání hospodaření obce Miřetice nebyly zjištěny chyby a nedostatky a nebyla zjištěna žádná závažná rizika, která by mohla mít </w:t>
      </w:r>
      <w:r>
        <w:t xml:space="preserve">negativní dopad na hospodaření územního celku v budoucnosti. Plné znění zprávy o výsledku přezkoumání hospodaření je obsaženo v příloze </w:t>
      </w:r>
      <w:proofErr w:type="gramStart"/>
      <w:r>
        <w:t>č. 4 závěrečného</w:t>
      </w:r>
      <w:proofErr w:type="gramEnd"/>
      <w:r>
        <w:t xml:space="preserve"> účtu obce Miřetice za rok 2020.</w:t>
      </w:r>
    </w:p>
    <w:p w:rsidR="003F2AE3" w:rsidRDefault="00440A01">
      <w:pPr>
        <w:pStyle w:val="Standard"/>
      </w:pPr>
      <w:r>
        <w:t>Návrh zastupitelstvu obce na usnesení:</w:t>
      </w:r>
    </w:p>
    <w:p w:rsidR="003F2AE3" w:rsidRDefault="00440A01">
      <w:pPr>
        <w:pStyle w:val="Standard"/>
      </w:pPr>
      <w:r>
        <w:t xml:space="preserve">Zastupitelstvo obce schvaluje </w:t>
      </w:r>
      <w:r>
        <w:t xml:space="preserve">účetní závěrku obce Miřetice za rok 2020 sestavenou k </w:t>
      </w:r>
      <w:proofErr w:type="gramStart"/>
      <w:r>
        <w:t>31.12.2020</w:t>
      </w:r>
      <w:proofErr w:type="gramEnd"/>
      <w:r>
        <w:t>.</w:t>
      </w:r>
    </w:p>
    <w:p w:rsidR="003F2AE3" w:rsidRDefault="00440A01">
      <w:pPr>
        <w:pStyle w:val="Standard"/>
      </w:pPr>
      <w:r>
        <w:t xml:space="preserve">Zastupitelstvo obce dává souhlas s celoročním hospodařením obce a závěrečným účtem obce Miřetice za rok 2020 včetně zprávy </w:t>
      </w:r>
      <w:proofErr w:type="spellStart"/>
      <w:r>
        <w:t>KrÚ</w:t>
      </w:r>
      <w:proofErr w:type="spellEnd"/>
      <w:r>
        <w:t xml:space="preserve"> Pardubického kraje o výsledku přezkoumání hospodaření obce Miře</w:t>
      </w:r>
      <w:r>
        <w:t xml:space="preserve">tice, IČ 00270504 ze dne </w:t>
      </w:r>
      <w:proofErr w:type="gramStart"/>
      <w:r>
        <w:t>4.5.2021</w:t>
      </w:r>
      <w:proofErr w:type="gramEnd"/>
      <w:r>
        <w:t xml:space="preserve"> s výrokem: bez výhrad</w:t>
      </w:r>
    </w:p>
    <w:p w:rsidR="003F2AE3" w:rsidRDefault="00440A01">
      <w:pPr>
        <w:pStyle w:val="Standard"/>
      </w:pPr>
      <w:r>
        <w:t xml:space="preserve">V Miřeticích dne </w:t>
      </w:r>
      <w:proofErr w:type="gramStart"/>
      <w:r>
        <w:t>10.5.2021</w:t>
      </w:r>
      <w:proofErr w:type="gramEnd"/>
    </w:p>
    <w:p w:rsidR="003F2AE3" w:rsidRDefault="00440A01">
      <w:pPr>
        <w:pStyle w:val="Standard"/>
      </w:pPr>
      <w:r>
        <w:t>Zpracovala: Jana Rychlá</w:t>
      </w:r>
    </w:p>
    <w:p w:rsidR="003F2AE3" w:rsidRDefault="00440A01">
      <w:pPr>
        <w:pStyle w:val="Standard"/>
      </w:pPr>
      <w:r>
        <w:t>Přílohy:</w:t>
      </w:r>
    </w:p>
    <w:p w:rsidR="003F2AE3" w:rsidRDefault="00440A01">
      <w:pPr>
        <w:pStyle w:val="Standard"/>
      </w:pPr>
      <w:r>
        <w:t xml:space="preserve">Příloha č. 1 – Výkaz pro hodnocení plnění rozpočtu FIN 2-12M k </w:t>
      </w:r>
      <w:proofErr w:type="gramStart"/>
      <w:r>
        <w:t>31.12.2020</w:t>
      </w:r>
      <w:proofErr w:type="gramEnd"/>
    </w:p>
    <w:p w:rsidR="003F2AE3" w:rsidRDefault="00440A01">
      <w:pPr>
        <w:pStyle w:val="Standard"/>
      </w:pPr>
      <w:r>
        <w:t>Příloha č. 2 – Rozvaha, Výkaz zisku a ztráty, Příloha účetní závěr</w:t>
      </w:r>
      <w:r>
        <w:t>ky</w:t>
      </w:r>
    </w:p>
    <w:p w:rsidR="003F2AE3" w:rsidRDefault="00440A01">
      <w:pPr>
        <w:pStyle w:val="Standard"/>
      </w:pPr>
      <w:r>
        <w:t>Příloha č. 3 – Inventarizační zpráva za rok 2020</w:t>
      </w:r>
    </w:p>
    <w:p w:rsidR="003F2AE3" w:rsidRDefault="00440A01">
      <w:pPr>
        <w:pStyle w:val="Standard"/>
      </w:pPr>
      <w:r>
        <w:t>Příloha č. 4 – Zpráva o výsledku přezkoumání hospodaření obce Miřetice za rok 2020</w:t>
      </w:r>
    </w:p>
    <w:p w:rsidR="003F2AE3" w:rsidRDefault="003F2AE3">
      <w:pPr>
        <w:pStyle w:val="Standard"/>
      </w:pPr>
    </w:p>
    <w:p w:rsidR="003F2AE3" w:rsidRDefault="00440A01">
      <w:pPr>
        <w:pStyle w:val="Standard"/>
      </w:pPr>
      <w:r>
        <w:t>Vyvěšeno na úřední desce:</w:t>
      </w:r>
      <w:r>
        <w:tab/>
      </w:r>
      <w:proofErr w:type="gramStart"/>
      <w:r>
        <w:t>11.5.2021</w:t>
      </w:r>
      <w:proofErr w:type="gramEnd"/>
      <w:r>
        <w:tab/>
      </w:r>
      <w:r>
        <w:tab/>
      </w:r>
      <w:r>
        <w:tab/>
      </w:r>
      <w:r>
        <w:tab/>
        <w:t>Sejmuto z úřední desky:</w:t>
      </w:r>
      <w:r w:rsidR="009D627C">
        <w:t xml:space="preserve"> </w:t>
      </w:r>
      <w:proofErr w:type="gramStart"/>
      <w:r w:rsidR="009D627C">
        <w:t>15.6.2021</w:t>
      </w:r>
      <w:proofErr w:type="gramEnd"/>
    </w:p>
    <w:p w:rsidR="003F2AE3" w:rsidRDefault="00C128A9">
      <w:pPr>
        <w:pStyle w:val="Standard"/>
      </w:pPr>
      <w:r>
        <w:t>(Vyvěšené v užším rozsahu, ú</w:t>
      </w:r>
      <w:r w:rsidR="00440A01">
        <w:t>plné znění je k nahlédnutí v k</w:t>
      </w:r>
      <w:r w:rsidR="00440A01">
        <w:t>anceláři OÚ Miřetice)</w:t>
      </w:r>
    </w:p>
    <w:p w:rsidR="003F2AE3" w:rsidRDefault="00440A01">
      <w:pPr>
        <w:pStyle w:val="Standard"/>
      </w:pPr>
      <w:r>
        <w:t>Vyvěšeno na elektronické účetní desce:</w:t>
      </w:r>
      <w:proofErr w:type="gramStart"/>
      <w:r>
        <w:t>11.5.2021</w:t>
      </w:r>
      <w:proofErr w:type="gramEnd"/>
      <w:r>
        <w:t xml:space="preserve"> Sejmuto z elektronické úřední desky:</w:t>
      </w:r>
      <w:r w:rsidR="009D627C">
        <w:t xml:space="preserve"> </w:t>
      </w:r>
      <w:proofErr w:type="gramStart"/>
      <w:r w:rsidR="009D627C">
        <w:t>15.6.2021</w:t>
      </w:r>
      <w:proofErr w:type="gramEnd"/>
    </w:p>
    <w:p w:rsidR="003F2AE3" w:rsidRDefault="00440A01">
      <w:pPr>
        <w:pStyle w:val="Standard"/>
      </w:pPr>
      <w:r>
        <w:t xml:space="preserve">Zveřejnění v úplném znění včetně zprávy o výsledku přezkoumání hospodaření způsobem umožňujícím dálkový přístup ve dnech </w:t>
      </w:r>
      <w:proofErr w:type="gramStart"/>
      <w:r>
        <w:t>11.5.2021</w:t>
      </w:r>
      <w:proofErr w:type="gramEnd"/>
      <w:r>
        <w:t xml:space="preserve"> </w:t>
      </w:r>
      <w:r w:rsidR="009D627C">
        <w:t>– 14.6.2021</w:t>
      </w:r>
      <w:r w:rsidR="00122B66">
        <w:t>.</w:t>
      </w:r>
      <w:bookmarkStart w:id="0" w:name="_GoBack"/>
      <w:bookmarkEnd w:id="0"/>
    </w:p>
    <w:sectPr w:rsidR="003F2AE3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A01">
      <w:r>
        <w:separator/>
      </w:r>
    </w:p>
  </w:endnote>
  <w:endnote w:type="continuationSeparator" w:id="0">
    <w:p w:rsidR="00000000" w:rsidRDefault="0044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0A01">
      <w:r>
        <w:rPr>
          <w:color w:val="000000"/>
        </w:rPr>
        <w:separator/>
      </w:r>
    </w:p>
  </w:footnote>
  <w:footnote w:type="continuationSeparator" w:id="0">
    <w:p w:rsidR="00000000" w:rsidRDefault="0044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2AE3"/>
    <w:rsid w:val="00122B66"/>
    <w:rsid w:val="003F2AE3"/>
    <w:rsid w:val="00440A01"/>
    <w:rsid w:val="009057A6"/>
    <w:rsid w:val="009D627C"/>
    <w:rsid w:val="00C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janarychla</dc:creator>
  <cp:lastModifiedBy>Jana Rychlá</cp:lastModifiedBy>
  <cp:revision>1</cp:revision>
  <cp:lastPrinted>2021-05-10T11:31:00Z</cp:lastPrinted>
  <dcterms:created xsi:type="dcterms:W3CDTF">2021-05-08T11:12:00Z</dcterms:created>
  <dcterms:modified xsi:type="dcterms:W3CDTF">2021-05-10T12:31:00Z</dcterms:modified>
</cp:coreProperties>
</file>